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12F3" w14:textId="77777777" w:rsidR="00820F1F" w:rsidRPr="00820F1F" w:rsidRDefault="00820F1F" w:rsidP="00820F1F">
      <w:pPr>
        <w:pBdr>
          <w:top w:val="single" w:sz="4" w:space="1" w:color="auto"/>
          <w:bottom w:val="single" w:sz="4" w:space="1" w:color="auto"/>
        </w:pBdr>
        <w:spacing w:after="0"/>
        <w:jc w:val="center"/>
        <w:rPr>
          <w:b/>
          <w:color w:val="FF0000"/>
          <w:sz w:val="32"/>
          <w:szCs w:val="32"/>
        </w:rPr>
      </w:pPr>
      <w:bookmarkStart w:id="0" w:name="_GoBack"/>
      <w:bookmarkEnd w:id="0"/>
      <w:r w:rsidRPr="00820F1F">
        <w:rPr>
          <w:b/>
          <w:color w:val="FF0000"/>
          <w:sz w:val="32"/>
          <w:szCs w:val="32"/>
        </w:rPr>
        <w:t>[Insert Hospital Name]</w:t>
      </w:r>
    </w:p>
    <w:p w14:paraId="2888B458" w14:textId="77777777" w:rsidR="00820F1F" w:rsidRPr="00820F1F" w:rsidRDefault="00820F1F" w:rsidP="00820F1F">
      <w:pPr>
        <w:pBdr>
          <w:top w:val="single" w:sz="4" w:space="1" w:color="auto"/>
          <w:bottom w:val="single" w:sz="4" w:space="1" w:color="auto"/>
        </w:pBdr>
        <w:spacing w:after="0"/>
        <w:jc w:val="center"/>
        <w:rPr>
          <w:b/>
          <w:sz w:val="32"/>
          <w:szCs w:val="32"/>
        </w:rPr>
      </w:pPr>
      <w:r w:rsidRPr="00820F1F">
        <w:rPr>
          <w:b/>
          <w:sz w:val="32"/>
          <w:szCs w:val="32"/>
        </w:rPr>
        <w:t>Formulary and Therapeutics Committee</w:t>
      </w:r>
    </w:p>
    <w:p w14:paraId="1F7B5310" w14:textId="77777777" w:rsidR="00820F1F" w:rsidRPr="00820F1F" w:rsidRDefault="00820F1F" w:rsidP="00820F1F">
      <w:pPr>
        <w:pBdr>
          <w:top w:val="single" w:sz="4" w:space="1" w:color="auto"/>
          <w:bottom w:val="single" w:sz="4" w:space="1" w:color="auto"/>
        </w:pBdr>
        <w:spacing w:after="0"/>
        <w:jc w:val="center"/>
        <w:rPr>
          <w:b/>
          <w:sz w:val="48"/>
          <w:szCs w:val="48"/>
        </w:rPr>
      </w:pPr>
      <w:r w:rsidRPr="00820F1F">
        <w:rPr>
          <w:b/>
          <w:sz w:val="48"/>
          <w:szCs w:val="48"/>
        </w:rPr>
        <w:t>DRUG ALERT</w:t>
      </w:r>
    </w:p>
    <w:p w14:paraId="592E3E0A" w14:textId="77777777" w:rsidR="00820F1F" w:rsidRPr="00820F1F" w:rsidRDefault="00820F1F" w:rsidP="00820F1F">
      <w:pPr>
        <w:pBdr>
          <w:top w:val="single" w:sz="4" w:space="1" w:color="auto"/>
          <w:bottom w:val="single" w:sz="4" w:space="1" w:color="auto"/>
        </w:pBdr>
        <w:spacing w:after="0"/>
        <w:jc w:val="center"/>
        <w:rPr>
          <w:b/>
          <w:sz w:val="32"/>
          <w:szCs w:val="32"/>
        </w:rPr>
      </w:pPr>
      <w:r w:rsidRPr="00820F1F">
        <w:rPr>
          <w:b/>
          <w:sz w:val="32"/>
          <w:szCs w:val="32"/>
        </w:rPr>
        <w:t>Critical and time-sensitive drug and drug therapy information disseminated by the Department of Pharmacy</w:t>
      </w:r>
    </w:p>
    <w:p w14:paraId="5E0EEC6F" w14:textId="77777777" w:rsidR="00820F1F" w:rsidRPr="00820F1F" w:rsidRDefault="00820F1F" w:rsidP="00820F1F">
      <w:r w:rsidRPr="00820F1F">
        <w:t>Volume 32, No. 8</w:t>
      </w:r>
      <w:r w:rsidRPr="00820F1F">
        <w:tab/>
      </w:r>
      <w:r w:rsidRPr="00820F1F">
        <w:tab/>
      </w:r>
      <w:r w:rsidRPr="00820F1F">
        <w:tab/>
      </w:r>
      <w:r w:rsidRPr="00820F1F">
        <w:tab/>
      </w:r>
      <w:r w:rsidRPr="00820F1F">
        <w:tab/>
      </w:r>
      <w:r w:rsidRPr="00820F1F">
        <w:tab/>
      </w:r>
      <w:r w:rsidRPr="00820F1F">
        <w:tab/>
      </w:r>
      <w:r w:rsidRPr="00820F1F">
        <w:tab/>
      </w:r>
      <w:r w:rsidRPr="00820F1F">
        <w:tab/>
        <w:t>June 2012</w:t>
      </w:r>
    </w:p>
    <w:p w14:paraId="7D914041" w14:textId="77777777" w:rsidR="00820F1F" w:rsidRPr="00820F1F" w:rsidRDefault="00820F1F" w:rsidP="00820F1F">
      <w:pPr>
        <w:rPr>
          <w:b/>
          <w:sz w:val="36"/>
        </w:rPr>
      </w:pPr>
      <w:r w:rsidRPr="00820F1F">
        <w:rPr>
          <w:b/>
          <w:sz w:val="36"/>
        </w:rPr>
        <w:t>SAFE USE OF INSULIN PENS</w:t>
      </w:r>
    </w:p>
    <w:p w14:paraId="485AE6F6" w14:textId="77777777" w:rsidR="00820F1F" w:rsidRPr="00820F1F" w:rsidRDefault="00820F1F" w:rsidP="00820F1F">
      <w:r w:rsidRPr="00820F1F">
        <w:t>As a clinical reminder, the January 12, 2012, issue of the Institute for Safe Medication Practice (ISMP) Medication Safety Alert newsletter highlighted the inappropriate use of insulin pens and provided updates on the dangerous practice of using the same insulin pen on multiple patients. Repeated event reports suggest that an alarming and widespread misunderstanding that sterility can be maintained between patients by affixing a fresh needle on a pen device continues. ISMP has reported two nurses who knowingly used the same pen for multiple patients. In one case the original patient had HIV. All patients were treated for exposure. According to the CDC, evidence continues to mount that this dangerous practice is still affecting thousands of patients, which places individuals at risk of infection. The insulin pen box has a warning stating “Single Patient Use Only”</w:t>
      </w:r>
      <w:proofErr w:type="gramStart"/>
      <w:r w:rsidRPr="00820F1F">
        <w:t>,</w:t>
      </w:r>
      <w:proofErr w:type="gramEnd"/>
      <w:r w:rsidRPr="00820F1F">
        <w:t xml:space="preserve"> however, the pen itself carries no warning. Strategies for avoiding this problem and other problems associated with Insulin pens are noted below.</w:t>
      </w:r>
    </w:p>
    <w:p w14:paraId="625B5431" w14:textId="77777777" w:rsidR="00820F1F" w:rsidRPr="00820F1F" w:rsidRDefault="00820F1F" w:rsidP="00820F1F">
      <w:pPr>
        <w:spacing w:after="0"/>
      </w:pPr>
      <w:r w:rsidRPr="00820F1F">
        <w:t>Additional information can be found at</w:t>
      </w:r>
    </w:p>
    <w:p w14:paraId="64B9BA0F" w14:textId="77777777" w:rsidR="00820F1F" w:rsidRPr="00820F1F" w:rsidRDefault="00316408" w:rsidP="00820F1F">
      <w:pPr>
        <w:numPr>
          <w:ilvl w:val="0"/>
          <w:numId w:val="11"/>
        </w:numPr>
        <w:spacing w:after="0"/>
        <w:contextualSpacing/>
      </w:pPr>
      <w:hyperlink r:id="rId9" w:history="1">
        <w:r w:rsidR="00820F1F" w:rsidRPr="00820F1F">
          <w:rPr>
            <w:color w:val="0000FF" w:themeColor="hyperlink"/>
            <w:u w:val="single"/>
          </w:rPr>
          <w:t>http://www.ismp.org/Newsletters/acutecare/issue.aspx?id=12</w:t>
        </w:r>
      </w:hyperlink>
      <w:r w:rsidR="00820F1F" w:rsidRPr="00820F1F">
        <w:t xml:space="preserve"> </w:t>
      </w:r>
    </w:p>
    <w:p w14:paraId="4423BE9F" w14:textId="77777777" w:rsidR="00820F1F" w:rsidRPr="00820F1F" w:rsidRDefault="00316408" w:rsidP="00820F1F">
      <w:pPr>
        <w:numPr>
          <w:ilvl w:val="0"/>
          <w:numId w:val="11"/>
        </w:numPr>
        <w:contextualSpacing/>
        <w:rPr>
          <w:rFonts w:ascii="Arial" w:eastAsia="Arial" w:hAnsi="Arial" w:cs="Arial"/>
          <w:sz w:val="18"/>
          <w:szCs w:val="18"/>
        </w:rPr>
      </w:pPr>
      <w:hyperlink r:id="rId10" w:history="1">
        <w:r w:rsidR="00820F1F" w:rsidRPr="00820F1F">
          <w:rPr>
            <w:color w:val="0000FF" w:themeColor="hyperlink"/>
            <w:u w:val="single"/>
          </w:rPr>
          <w:t>http://www.cdc.gov/injectionsafety/clinical-reminders/insulin-pens.html</w:t>
        </w:r>
      </w:hyperlink>
      <w:r w:rsidR="00820F1F" w:rsidRPr="00820F1F">
        <w:t xml:space="preserve"> </w:t>
      </w:r>
      <w:hyperlink r:id="rId11">
        <w:r w:rsidR="00820F1F" w:rsidRPr="00820F1F">
          <w:rPr>
            <w:color w:val="0000FF" w:themeColor="hyperlink"/>
            <w:u w:val="single"/>
          </w:rPr>
          <w:t>CDC - Blood Glucose Monitoring - Injection Safety</w:t>
        </w:r>
      </w:hyperlink>
    </w:p>
    <w:p w14:paraId="2A54A631" w14:textId="77777777" w:rsidR="00820F1F" w:rsidRPr="00820F1F" w:rsidRDefault="00820F1F" w:rsidP="00820F1F">
      <w:pPr>
        <w:rPr>
          <w:rFonts w:ascii="Arial" w:eastAsia="Arial" w:hAnsi="Arial" w:cs="Arial"/>
          <w:sz w:val="18"/>
          <w:szCs w:val="18"/>
        </w:rPr>
      </w:pPr>
      <w:r w:rsidRPr="00820F1F">
        <w:rPr>
          <w:rFonts w:ascii="Arial" w:eastAsia="Arial" w:hAnsi="Arial" w:cs="Arial"/>
          <w:sz w:val="18"/>
          <w:szCs w:val="18"/>
        </w:rPr>
        <w:br w:type="page"/>
      </w:r>
    </w:p>
    <w:tbl>
      <w:tblPr>
        <w:tblStyle w:val="TableGrid"/>
        <w:tblW w:w="5000" w:type="pct"/>
        <w:tblLook w:val="01E0" w:firstRow="1" w:lastRow="1" w:firstColumn="1" w:lastColumn="1" w:noHBand="0" w:noVBand="0"/>
      </w:tblPr>
      <w:tblGrid>
        <w:gridCol w:w="1768"/>
        <w:gridCol w:w="4167"/>
        <w:gridCol w:w="4361"/>
      </w:tblGrid>
      <w:tr w:rsidR="00820F1F" w:rsidRPr="00820F1F" w14:paraId="51874E60" w14:textId="77777777" w:rsidTr="0078121E">
        <w:trPr>
          <w:cantSplit/>
          <w:tblHeader/>
        </w:trPr>
        <w:tc>
          <w:tcPr>
            <w:tcW w:w="0" w:type="auto"/>
          </w:tcPr>
          <w:p w14:paraId="0C7863C5" w14:textId="77777777" w:rsidR="00820F1F" w:rsidRPr="00820F1F" w:rsidRDefault="00820F1F" w:rsidP="00820F1F">
            <w:pPr>
              <w:rPr>
                <w:b/>
              </w:rPr>
            </w:pPr>
            <w:r w:rsidRPr="00820F1F">
              <w:rPr>
                <w:b/>
              </w:rPr>
              <w:lastRenderedPageBreak/>
              <w:t>Errors</w:t>
            </w:r>
          </w:p>
        </w:tc>
        <w:tc>
          <w:tcPr>
            <w:tcW w:w="0" w:type="auto"/>
          </w:tcPr>
          <w:p w14:paraId="0198385D" w14:textId="77777777" w:rsidR="00820F1F" w:rsidRPr="00820F1F" w:rsidRDefault="00820F1F" w:rsidP="00820F1F">
            <w:pPr>
              <w:rPr>
                <w:b/>
              </w:rPr>
            </w:pPr>
            <w:r w:rsidRPr="00820F1F">
              <w:rPr>
                <w:b/>
              </w:rPr>
              <w:t>Causes</w:t>
            </w:r>
          </w:p>
        </w:tc>
        <w:tc>
          <w:tcPr>
            <w:tcW w:w="0" w:type="auto"/>
          </w:tcPr>
          <w:p w14:paraId="47B6F950" w14:textId="77777777" w:rsidR="00820F1F" w:rsidRPr="00820F1F" w:rsidRDefault="00820F1F" w:rsidP="00820F1F">
            <w:pPr>
              <w:rPr>
                <w:b/>
              </w:rPr>
            </w:pPr>
            <w:r w:rsidRPr="00820F1F">
              <w:rPr>
                <w:b/>
              </w:rPr>
              <w:t>Safe Practices</w:t>
            </w:r>
          </w:p>
        </w:tc>
      </w:tr>
      <w:tr w:rsidR="00820F1F" w:rsidRPr="00820F1F" w14:paraId="0B0AE97E" w14:textId="77777777" w:rsidTr="0078121E">
        <w:trPr>
          <w:cantSplit/>
        </w:trPr>
        <w:tc>
          <w:tcPr>
            <w:tcW w:w="0" w:type="auto"/>
          </w:tcPr>
          <w:p w14:paraId="4ED695C9" w14:textId="77777777" w:rsidR="00820F1F" w:rsidRPr="00820F1F" w:rsidRDefault="00820F1F" w:rsidP="00820F1F">
            <w:r w:rsidRPr="00820F1F">
              <w:t>Use of pen for multiple patients</w:t>
            </w:r>
          </w:p>
        </w:tc>
        <w:tc>
          <w:tcPr>
            <w:tcW w:w="0" w:type="auto"/>
          </w:tcPr>
          <w:p w14:paraId="193D22DA" w14:textId="77777777" w:rsidR="00820F1F" w:rsidRPr="00820F1F" w:rsidRDefault="00820F1F" w:rsidP="00820F1F">
            <w:r w:rsidRPr="00820F1F">
              <w:t>Cross contamination can occur when sharing the same pen with more than one patient even when the safety needle has been changed. This imposes a potential risk of hepatitis C and HIV transmission.</w:t>
            </w:r>
          </w:p>
        </w:tc>
        <w:tc>
          <w:tcPr>
            <w:tcW w:w="0" w:type="auto"/>
          </w:tcPr>
          <w:p w14:paraId="596ECF13" w14:textId="77777777" w:rsidR="00820F1F" w:rsidRPr="00820F1F" w:rsidRDefault="00820F1F" w:rsidP="00820F1F">
            <w:r w:rsidRPr="00820F1F">
              <w:t>Pharmacy dispenses and labels insulin pens for specific patients. These pens should only be used for the labeled patient and NEVER used for a different patient.</w:t>
            </w:r>
          </w:p>
        </w:tc>
      </w:tr>
      <w:tr w:rsidR="00820F1F" w:rsidRPr="00820F1F" w14:paraId="20473F4D" w14:textId="77777777" w:rsidTr="0078121E">
        <w:trPr>
          <w:cantSplit/>
        </w:trPr>
        <w:tc>
          <w:tcPr>
            <w:tcW w:w="0" w:type="auto"/>
          </w:tcPr>
          <w:p w14:paraId="3CAC353B" w14:textId="77777777" w:rsidR="00820F1F" w:rsidRPr="00820F1F" w:rsidRDefault="00820F1F" w:rsidP="00820F1F">
            <w:r w:rsidRPr="00820F1F">
              <w:t>Withdrawing insulin out of the cartridge</w:t>
            </w:r>
          </w:p>
          <w:p w14:paraId="3582E396" w14:textId="77777777" w:rsidR="00820F1F" w:rsidRPr="00820F1F" w:rsidRDefault="00820F1F" w:rsidP="00820F1F">
            <w:r w:rsidRPr="00820F1F">
              <w:t>with a syringe</w:t>
            </w:r>
          </w:p>
        </w:tc>
        <w:tc>
          <w:tcPr>
            <w:tcW w:w="0" w:type="auto"/>
          </w:tcPr>
          <w:p w14:paraId="7961D272" w14:textId="77777777" w:rsidR="00820F1F" w:rsidRPr="00820F1F" w:rsidRDefault="00820F1F" w:rsidP="00820F1F">
            <w:r w:rsidRPr="00820F1F">
              <w:t>This practice damages the integrity of the pen and can introduce pockets of air, which can lead to inaccurate dosing.</w:t>
            </w:r>
          </w:p>
        </w:tc>
        <w:tc>
          <w:tcPr>
            <w:tcW w:w="0" w:type="auto"/>
          </w:tcPr>
          <w:p w14:paraId="38D36144" w14:textId="77777777" w:rsidR="00820F1F" w:rsidRPr="00820F1F" w:rsidRDefault="00820F1F" w:rsidP="00820F1F">
            <w:r w:rsidRPr="00820F1F">
              <w:t>NEVER use a syringe to draw insulin out of an insulin pen cartridge.</w:t>
            </w:r>
          </w:p>
        </w:tc>
      </w:tr>
      <w:tr w:rsidR="00820F1F" w:rsidRPr="00820F1F" w14:paraId="0E121998" w14:textId="77777777" w:rsidTr="0078121E">
        <w:trPr>
          <w:cantSplit/>
        </w:trPr>
        <w:tc>
          <w:tcPr>
            <w:tcW w:w="0" w:type="auto"/>
            <w:vMerge w:val="restart"/>
          </w:tcPr>
          <w:p w14:paraId="68543F64" w14:textId="77777777" w:rsidR="00820F1F" w:rsidRPr="00820F1F" w:rsidRDefault="00820F1F" w:rsidP="00820F1F">
            <w:r w:rsidRPr="00820F1F">
              <w:t>“Wet spots” noted on skin post injection</w:t>
            </w:r>
          </w:p>
        </w:tc>
        <w:tc>
          <w:tcPr>
            <w:tcW w:w="0" w:type="auto"/>
          </w:tcPr>
          <w:p w14:paraId="0310D80B" w14:textId="77777777" w:rsidR="00820F1F" w:rsidRPr="00820F1F" w:rsidRDefault="00820F1F" w:rsidP="00820F1F">
            <w:pPr>
              <w:numPr>
                <w:ilvl w:val="0"/>
                <w:numId w:val="8"/>
              </w:numPr>
              <w:ind w:left="259" w:hanging="259"/>
              <w:contextualSpacing/>
            </w:pPr>
            <w:r w:rsidRPr="00820F1F">
              <w:t>One cause of “wet spots” may be that the air shot of insulin collects in the cylinder of the safety needle.</w:t>
            </w:r>
          </w:p>
        </w:tc>
        <w:tc>
          <w:tcPr>
            <w:tcW w:w="0" w:type="auto"/>
          </w:tcPr>
          <w:p w14:paraId="383CC303" w14:textId="77777777" w:rsidR="00820F1F" w:rsidRPr="00820F1F" w:rsidRDefault="00820F1F" w:rsidP="00820F1F">
            <w:pPr>
              <w:numPr>
                <w:ilvl w:val="0"/>
                <w:numId w:val="9"/>
              </w:numPr>
              <w:ind w:left="281" w:hanging="281"/>
              <w:contextualSpacing/>
            </w:pPr>
            <w:r w:rsidRPr="00820F1F">
              <w:t>When performing a 2 unit “air shot”, repeat until at least one drop of insulin appears on the tip of the needle. This ensures that no air is being delivered. Shake off any excess insulin that collects in chamber of safety needle.</w:t>
            </w:r>
          </w:p>
        </w:tc>
      </w:tr>
      <w:tr w:rsidR="00820F1F" w:rsidRPr="00820F1F" w14:paraId="10287B55" w14:textId="77777777" w:rsidTr="0078121E">
        <w:trPr>
          <w:cantSplit/>
        </w:trPr>
        <w:tc>
          <w:tcPr>
            <w:tcW w:w="0" w:type="auto"/>
            <w:vMerge/>
          </w:tcPr>
          <w:p w14:paraId="676C9BFB" w14:textId="77777777" w:rsidR="00820F1F" w:rsidRPr="00820F1F" w:rsidRDefault="00820F1F" w:rsidP="00820F1F"/>
        </w:tc>
        <w:tc>
          <w:tcPr>
            <w:tcW w:w="0" w:type="auto"/>
          </w:tcPr>
          <w:p w14:paraId="4CA8DC20" w14:textId="77777777" w:rsidR="00820F1F" w:rsidRPr="00820F1F" w:rsidRDefault="00820F1F" w:rsidP="00820F1F">
            <w:pPr>
              <w:numPr>
                <w:ilvl w:val="0"/>
                <w:numId w:val="8"/>
              </w:numPr>
              <w:ind w:left="259" w:hanging="259"/>
              <w:contextualSpacing/>
            </w:pPr>
            <w:r w:rsidRPr="00820F1F">
              <w:t>Another cause may be removal of the safety needle before all of the insulin is delivered.</w:t>
            </w:r>
          </w:p>
        </w:tc>
        <w:tc>
          <w:tcPr>
            <w:tcW w:w="0" w:type="auto"/>
          </w:tcPr>
          <w:p w14:paraId="05119FB4" w14:textId="77777777" w:rsidR="00820F1F" w:rsidRPr="00820F1F" w:rsidRDefault="00820F1F" w:rsidP="00820F1F">
            <w:pPr>
              <w:numPr>
                <w:ilvl w:val="0"/>
                <w:numId w:val="9"/>
              </w:numPr>
              <w:ind w:left="281" w:hanging="281"/>
              <w:contextualSpacing/>
            </w:pPr>
            <w:r w:rsidRPr="00820F1F">
              <w:t>Push the plunger all the way down and wait 6 seconds before withdrawing the needle.</w:t>
            </w:r>
          </w:p>
        </w:tc>
      </w:tr>
      <w:tr w:rsidR="00820F1F" w:rsidRPr="00820F1F" w14:paraId="0D815E00" w14:textId="77777777" w:rsidTr="0078121E">
        <w:trPr>
          <w:cantSplit/>
        </w:trPr>
        <w:tc>
          <w:tcPr>
            <w:tcW w:w="0" w:type="auto"/>
          </w:tcPr>
          <w:p w14:paraId="7C103588" w14:textId="77777777" w:rsidR="00820F1F" w:rsidRPr="00820F1F" w:rsidRDefault="00820F1F" w:rsidP="00820F1F">
            <w:r w:rsidRPr="00820F1F">
              <w:t>Needlestick injuries</w:t>
            </w:r>
          </w:p>
        </w:tc>
        <w:tc>
          <w:tcPr>
            <w:tcW w:w="0" w:type="auto"/>
          </w:tcPr>
          <w:p w14:paraId="14E29174" w14:textId="77777777" w:rsidR="00820F1F" w:rsidRPr="00820F1F" w:rsidRDefault="00820F1F" w:rsidP="00820F1F">
            <w:r w:rsidRPr="00820F1F">
              <w:t>When pinching the back of the arm of a thin patient, there is a greater risk of a needlestick injury to the nurse</w:t>
            </w:r>
          </w:p>
        </w:tc>
        <w:tc>
          <w:tcPr>
            <w:tcW w:w="0" w:type="auto"/>
          </w:tcPr>
          <w:p w14:paraId="52F2CA1C" w14:textId="77777777" w:rsidR="00820F1F" w:rsidRPr="00820F1F" w:rsidRDefault="00820F1F" w:rsidP="00820F1F">
            <w:pPr>
              <w:numPr>
                <w:ilvl w:val="0"/>
                <w:numId w:val="10"/>
              </w:numPr>
              <w:ind w:left="281" w:hanging="281"/>
              <w:contextualSpacing/>
            </w:pPr>
            <w:r w:rsidRPr="00820F1F">
              <w:t>Nurses should maintain a 90 degree angle during the injection.</w:t>
            </w:r>
          </w:p>
          <w:p w14:paraId="47406C23" w14:textId="77777777" w:rsidR="00820F1F" w:rsidRPr="00820F1F" w:rsidRDefault="00820F1F" w:rsidP="00820F1F">
            <w:pPr>
              <w:numPr>
                <w:ilvl w:val="0"/>
                <w:numId w:val="10"/>
              </w:numPr>
              <w:ind w:left="281" w:hanging="281"/>
              <w:contextualSpacing/>
            </w:pPr>
            <w:r w:rsidRPr="00820F1F">
              <w:t>Inject pre-meal insulin in abdomen and long-acting insulin in thigh whenever possible</w:t>
            </w:r>
          </w:p>
        </w:tc>
      </w:tr>
    </w:tbl>
    <w:p w14:paraId="36FFCCF7" w14:textId="77777777" w:rsidR="00820F1F" w:rsidRPr="00820F1F" w:rsidRDefault="00820F1F" w:rsidP="00820F1F"/>
    <w:p w14:paraId="0E66E498" w14:textId="77777777" w:rsidR="00820F1F" w:rsidRPr="00820F1F" w:rsidRDefault="00820F1F" w:rsidP="00820F1F">
      <w:r w:rsidRPr="00820F1F">
        <w:t xml:space="preserve">More information on the use of insulin pens is available in the </w:t>
      </w:r>
      <w:r w:rsidRPr="00820F1F">
        <w:rPr>
          <w:color w:val="FF0000"/>
        </w:rPr>
        <w:t>[insert hospital name]</w:t>
      </w:r>
      <w:r w:rsidRPr="00820F1F">
        <w:t xml:space="preserve"> Nursing Procedure Manual </w:t>
      </w:r>
      <w:r w:rsidRPr="00820F1F">
        <w:rPr>
          <w:color w:val="FF0000"/>
        </w:rPr>
        <w:t>[insert procedure number or link]</w:t>
      </w:r>
      <w:r w:rsidRPr="00820F1F">
        <w:t>.</w:t>
      </w:r>
    </w:p>
    <w:p w14:paraId="1C5C4BED" w14:textId="77777777" w:rsidR="00820F1F" w:rsidRPr="00820F1F" w:rsidRDefault="00820F1F" w:rsidP="00820F1F">
      <w:r w:rsidRPr="00820F1F">
        <w:t xml:space="preserve">The current insulin pen on the </w:t>
      </w:r>
      <w:r w:rsidRPr="00820F1F">
        <w:rPr>
          <w:color w:val="FF0000"/>
        </w:rPr>
        <w:t>[insert hospital name]</w:t>
      </w:r>
      <w:r w:rsidRPr="00820F1F">
        <w:t xml:space="preserve"> formulary, </w:t>
      </w:r>
      <w:proofErr w:type="spellStart"/>
      <w:r w:rsidRPr="00820F1F">
        <w:t>Novolog</w:t>
      </w:r>
      <w:proofErr w:type="spellEnd"/>
      <w:r w:rsidRPr="00820F1F">
        <w:t xml:space="preserve"> </w:t>
      </w:r>
      <w:proofErr w:type="spellStart"/>
      <w:r w:rsidRPr="00820F1F">
        <w:t>FlexPens</w:t>
      </w:r>
      <w:proofErr w:type="spellEnd"/>
      <w:r w:rsidRPr="00820F1F">
        <w:t xml:space="preserve">®, must be used in conjunction with the </w:t>
      </w:r>
      <w:proofErr w:type="spellStart"/>
      <w:r w:rsidRPr="00820F1F">
        <w:t>Novofine</w:t>
      </w:r>
      <w:proofErr w:type="spellEnd"/>
      <w:r w:rsidRPr="00820F1F">
        <w:t xml:space="preserve">® </w:t>
      </w:r>
      <w:proofErr w:type="spellStart"/>
      <w:r w:rsidRPr="00820F1F">
        <w:t>Autocover</w:t>
      </w:r>
      <w:proofErr w:type="spellEnd"/>
      <w:r w:rsidRPr="00820F1F">
        <w:t>™ Safety Needles that are available through General Stores/Materials Management.</w:t>
      </w:r>
    </w:p>
    <w:p w14:paraId="1BD97920" w14:textId="77777777" w:rsidR="00820F1F" w:rsidRPr="00820F1F" w:rsidRDefault="00820F1F" w:rsidP="00820F1F">
      <w:pPr>
        <w:rPr>
          <w:b/>
        </w:rPr>
      </w:pPr>
      <w:r w:rsidRPr="00820F1F">
        <w:rPr>
          <w:b/>
        </w:rPr>
        <w:t>References</w:t>
      </w:r>
    </w:p>
    <w:p w14:paraId="010872AE" w14:textId="77777777" w:rsidR="00820F1F" w:rsidRPr="00820F1F" w:rsidRDefault="00820F1F" w:rsidP="00820F1F">
      <w:r w:rsidRPr="00820F1F">
        <w:t xml:space="preserve">Institute for Safe Medication Practices. Hazard alert: do not use an insulin pen for multiple patients! </w:t>
      </w:r>
      <w:proofErr w:type="gramStart"/>
      <w:r w:rsidRPr="00820F1F">
        <w:t>Acute Care ISMP Medication Safety Alert.</w:t>
      </w:r>
      <w:proofErr w:type="gramEnd"/>
      <w:r w:rsidRPr="00820F1F">
        <w:t xml:space="preserve"> 2012; 17(1): 1</w:t>
      </w:r>
      <w:proofErr w:type="gramStart"/>
      <w:r w:rsidRPr="00820F1F">
        <w:t>,4</w:t>
      </w:r>
      <w:proofErr w:type="gramEnd"/>
      <w:r w:rsidRPr="00820F1F">
        <w:t>. http://www.ismp.org/Newsletters/acutecare/issue.aspx?id=12.</w:t>
      </w:r>
    </w:p>
    <w:p w14:paraId="3C243D93" w14:textId="77777777" w:rsidR="00820F1F" w:rsidRPr="00820F1F" w:rsidRDefault="00820F1F" w:rsidP="00820F1F">
      <w:r w:rsidRPr="00820F1F">
        <w:t>Institute for Safe Medication Practices. Considering insulin pens for routine hospital use? Consider this…. May 8, 2008. www.ismp.org/Newsletters/acutecare/articles/20080508.asp.</w:t>
      </w:r>
    </w:p>
    <w:p w14:paraId="555B0B5E" w14:textId="77777777" w:rsidR="00820F1F" w:rsidRPr="00820F1F" w:rsidRDefault="00820F1F" w:rsidP="00820F1F"/>
    <w:p w14:paraId="20CFE7B9" w14:textId="77777777" w:rsidR="00820F1F" w:rsidRPr="00820F1F" w:rsidRDefault="00820F1F" w:rsidP="00820F1F">
      <w:r w:rsidRPr="00820F1F">
        <w:rPr>
          <w:b/>
        </w:rPr>
        <w:t xml:space="preserve">For questions regarding this Drug Alert, </w:t>
      </w:r>
      <w:r w:rsidRPr="00820F1F">
        <w:rPr>
          <w:color w:val="FF0000"/>
        </w:rPr>
        <w:t>[insert appropriate contact in pharmacy department]</w:t>
      </w:r>
      <w:r w:rsidRPr="00820F1F">
        <w:t>.</w:t>
      </w:r>
    </w:p>
    <w:p w14:paraId="62F95E20" w14:textId="77777777" w:rsidR="00BC68C2" w:rsidRPr="00BC68C2" w:rsidRDefault="00BC68C2" w:rsidP="00D1603D">
      <w:pPr>
        <w:tabs>
          <w:tab w:val="left" w:pos="8494"/>
        </w:tabs>
      </w:pPr>
    </w:p>
    <w:sectPr w:rsidR="00BC68C2" w:rsidRPr="00BC68C2" w:rsidSect="00745B1A">
      <w:headerReference w:type="default" r:id="rId12"/>
      <w:footerReference w:type="default" r:id="rId13"/>
      <w:headerReference w:type="first" r:id="rId14"/>
      <w:footerReference w:type="first" r:id="rId15"/>
      <w:pgSz w:w="12240" w:h="15840"/>
      <w:pgMar w:top="1440" w:right="1080" w:bottom="1440" w:left="1080" w:header="45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8D52B"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C00C" w14:textId="77777777" w:rsidR="00316408" w:rsidRDefault="00316408" w:rsidP="009723B0">
      <w:pPr>
        <w:spacing w:after="0" w:line="240" w:lineRule="auto"/>
      </w:pPr>
      <w:r>
        <w:separator/>
      </w:r>
    </w:p>
  </w:endnote>
  <w:endnote w:type="continuationSeparator" w:id="0">
    <w:p w14:paraId="4E81FFBB" w14:textId="77777777" w:rsidR="00316408" w:rsidRDefault="00316408"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14:paraId="7A92CA5B" w14:textId="77777777"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20F1F">
              <w:rPr>
                <w:sz w:val="18"/>
                <w:szCs w:val="18"/>
              </w:rPr>
              <w:t>Jun-12</w:t>
            </w:r>
          </w:p>
          <w:p w14:paraId="6C69FC44" w14:textId="77777777"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B94340">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B94340">
              <w:rPr>
                <w:bCs/>
                <w:noProof/>
                <w:sz w:val="18"/>
                <w:szCs w:val="18"/>
              </w:rPr>
              <w:t>2</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14:paraId="47E7D2D5" w14:textId="77777777"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B94340">
              <w:rPr>
                <w:noProof/>
                <w:sz w:val="18"/>
                <w:szCs w:val="18"/>
                <w:highlight w:val="yellow"/>
              </w:rPr>
              <w:t>Aug-14</w:t>
            </w:r>
            <w:r w:rsidR="00BC68C2">
              <w:rPr>
                <w:sz w:val="18"/>
                <w:szCs w:val="18"/>
                <w:highlight w:val="yellow"/>
              </w:rPr>
              <w:fldChar w:fldCharType="end"/>
            </w:r>
            <w:r w:rsidR="00297488">
              <w:rPr>
                <w:sz w:val="18"/>
                <w:szCs w:val="18"/>
              </w:rPr>
              <w:tab/>
            </w:r>
          </w:p>
          <w:p w14:paraId="23900388" w14:textId="77777777"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FCEB" w14:textId="77777777" w:rsidR="00316408" w:rsidRDefault="00316408" w:rsidP="009723B0">
      <w:pPr>
        <w:spacing w:after="0" w:line="240" w:lineRule="auto"/>
      </w:pPr>
      <w:r>
        <w:separator/>
      </w:r>
    </w:p>
  </w:footnote>
  <w:footnote w:type="continuationSeparator" w:id="0">
    <w:p w14:paraId="1A87452C" w14:textId="77777777" w:rsidR="00316408" w:rsidRDefault="00316408"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1028" w14:textId="77777777" w:rsidR="00745B1A" w:rsidRDefault="00820F1F" w:rsidP="00745B1A">
    <w:pPr>
      <w:spacing w:after="0"/>
      <w:jc w:val="center"/>
      <w:rPr>
        <w:b/>
        <w:sz w:val="28"/>
        <w:szCs w:val="32"/>
      </w:rPr>
    </w:pPr>
    <w:r>
      <w:rPr>
        <w:b/>
        <w:sz w:val="28"/>
        <w:szCs w:val="32"/>
      </w:rPr>
      <w:t>Sample Drug Alert Newsletter of the Formulary and Therapeutics Committee:</w:t>
    </w:r>
  </w:p>
  <w:p w14:paraId="5122957D" w14:textId="77777777" w:rsidR="00820F1F" w:rsidRDefault="00820F1F" w:rsidP="00745B1A">
    <w:pPr>
      <w:spacing w:after="0"/>
      <w:jc w:val="center"/>
      <w:rPr>
        <w:b/>
        <w:sz w:val="28"/>
        <w:szCs w:val="32"/>
      </w:rPr>
    </w:pPr>
    <w:r>
      <w:rPr>
        <w:b/>
        <w:sz w:val="28"/>
        <w:szCs w:val="32"/>
      </w:rPr>
      <w:t>Safe Use of Insulin Pens</w:t>
    </w:r>
  </w:p>
  <w:p w14:paraId="36CDB6C6" w14:textId="77777777" w:rsidR="00745B1A" w:rsidRDefault="0074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628C" w14:textId="77777777" w:rsidR="00A24E5E" w:rsidRDefault="00A24E5E" w:rsidP="00DB7745">
    <w:pPr>
      <w:spacing w:after="0"/>
      <w:jc w:val="center"/>
      <w:rPr>
        <w:b/>
        <w:sz w:val="28"/>
        <w:szCs w:val="32"/>
      </w:rPr>
    </w:pPr>
    <w:r>
      <w:rPr>
        <w:b/>
        <w:sz w:val="28"/>
        <w:szCs w:val="32"/>
      </w:rPr>
      <w:t>Enter document title here to automatically place on subsequent headers</w:t>
    </w:r>
  </w:p>
  <w:p w14:paraId="25185F57" w14:textId="77777777"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506E"/>
    <w:multiLevelType w:val="hybridMultilevel"/>
    <w:tmpl w:val="9FEA76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F06C4"/>
    <w:multiLevelType w:val="hybridMultilevel"/>
    <w:tmpl w:val="6E94A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8">
    <w:nsid w:val="6CEF4BE2"/>
    <w:multiLevelType w:val="hybridMultilevel"/>
    <w:tmpl w:val="BA9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F7095"/>
    <w:multiLevelType w:val="hybridMultilevel"/>
    <w:tmpl w:val="9FEA76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10"/>
  </w:num>
  <w:num w:numId="2">
    <w:abstractNumId w:val="7"/>
  </w:num>
  <w:num w:numId="3">
    <w:abstractNumId w:val="4"/>
  </w:num>
  <w:num w:numId="4">
    <w:abstractNumId w:val="2"/>
  </w:num>
  <w:num w:numId="5">
    <w:abstractNumId w:val="3"/>
  </w:num>
  <w:num w:numId="6">
    <w:abstractNumId w:val="6"/>
  </w:num>
  <w:num w:numId="7">
    <w:abstractNumId w:val="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156A61"/>
    <w:rsid w:val="001578A9"/>
    <w:rsid w:val="001B375C"/>
    <w:rsid w:val="00264813"/>
    <w:rsid w:val="00297488"/>
    <w:rsid w:val="00306A71"/>
    <w:rsid w:val="00316408"/>
    <w:rsid w:val="003233B1"/>
    <w:rsid w:val="00335279"/>
    <w:rsid w:val="003458A7"/>
    <w:rsid w:val="00426CD8"/>
    <w:rsid w:val="004C218A"/>
    <w:rsid w:val="004E7A1C"/>
    <w:rsid w:val="004F4F32"/>
    <w:rsid w:val="00505808"/>
    <w:rsid w:val="00556653"/>
    <w:rsid w:val="00586394"/>
    <w:rsid w:val="005C693F"/>
    <w:rsid w:val="005F7A54"/>
    <w:rsid w:val="006D45DC"/>
    <w:rsid w:val="00745B1A"/>
    <w:rsid w:val="0080635D"/>
    <w:rsid w:val="00820F1F"/>
    <w:rsid w:val="00831C00"/>
    <w:rsid w:val="008848FD"/>
    <w:rsid w:val="008C6F87"/>
    <w:rsid w:val="008F3F98"/>
    <w:rsid w:val="009165A7"/>
    <w:rsid w:val="00947AD3"/>
    <w:rsid w:val="009723B0"/>
    <w:rsid w:val="009753A6"/>
    <w:rsid w:val="009C271F"/>
    <w:rsid w:val="009D07BD"/>
    <w:rsid w:val="00A24E5E"/>
    <w:rsid w:val="00A348BB"/>
    <w:rsid w:val="00A9636C"/>
    <w:rsid w:val="00AB2122"/>
    <w:rsid w:val="00AD2A76"/>
    <w:rsid w:val="00AE39D7"/>
    <w:rsid w:val="00AF7C6A"/>
    <w:rsid w:val="00B51397"/>
    <w:rsid w:val="00B94340"/>
    <w:rsid w:val="00BC68C2"/>
    <w:rsid w:val="00C06233"/>
    <w:rsid w:val="00C25637"/>
    <w:rsid w:val="00C25938"/>
    <w:rsid w:val="00C55567"/>
    <w:rsid w:val="00C73553"/>
    <w:rsid w:val="00C96FC6"/>
    <w:rsid w:val="00D12389"/>
    <w:rsid w:val="00D1603D"/>
    <w:rsid w:val="00D71796"/>
    <w:rsid w:val="00D84268"/>
    <w:rsid w:val="00DB7745"/>
    <w:rsid w:val="00DD751C"/>
    <w:rsid w:val="00E06644"/>
    <w:rsid w:val="00E132C4"/>
    <w:rsid w:val="00E92CFF"/>
    <w:rsid w:val="00EC07E1"/>
    <w:rsid w:val="00F16140"/>
    <w:rsid w:val="00F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82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F1F"/>
    <w:rPr>
      <w:sz w:val="16"/>
      <w:szCs w:val="16"/>
    </w:rPr>
  </w:style>
  <w:style w:type="paragraph" w:styleId="CommentText">
    <w:name w:val="annotation text"/>
    <w:basedOn w:val="Normal"/>
    <w:link w:val="CommentTextChar"/>
    <w:uiPriority w:val="99"/>
    <w:semiHidden/>
    <w:unhideWhenUsed/>
    <w:rsid w:val="00820F1F"/>
    <w:pPr>
      <w:spacing w:line="240" w:lineRule="auto"/>
    </w:pPr>
    <w:rPr>
      <w:sz w:val="20"/>
      <w:szCs w:val="20"/>
    </w:rPr>
  </w:style>
  <w:style w:type="character" w:customStyle="1" w:styleId="CommentTextChar">
    <w:name w:val="Comment Text Char"/>
    <w:basedOn w:val="DefaultParagraphFont"/>
    <w:link w:val="CommentText"/>
    <w:uiPriority w:val="99"/>
    <w:semiHidden/>
    <w:rsid w:val="00820F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82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F1F"/>
    <w:rPr>
      <w:sz w:val="16"/>
      <w:szCs w:val="16"/>
    </w:rPr>
  </w:style>
  <w:style w:type="paragraph" w:styleId="CommentText">
    <w:name w:val="annotation text"/>
    <w:basedOn w:val="Normal"/>
    <w:link w:val="CommentTextChar"/>
    <w:uiPriority w:val="99"/>
    <w:semiHidden/>
    <w:unhideWhenUsed/>
    <w:rsid w:val="00820F1F"/>
    <w:pPr>
      <w:spacing w:line="240" w:lineRule="auto"/>
    </w:pPr>
    <w:rPr>
      <w:sz w:val="20"/>
      <w:szCs w:val="20"/>
    </w:rPr>
  </w:style>
  <w:style w:type="character" w:customStyle="1" w:styleId="CommentTextChar">
    <w:name w:val="Comment Text Char"/>
    <w:basedOn w:val="DefaultParagraphFont"/>
    <w:link w:val="CommentText"/>
    <w:uiPriority w:val="99"/>
    <w:semiHidden/>
    <w:rsid w:val="00820F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injectionsafety/blood-glucose-monitoring.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injectionsafety/clinical-reminders/insulin-pens.html" TargetMode="External"/><Relationship Id="rId4" Type="http://schemas.microsoft.com/office/2007/relationships/stylesWithEffects" Target="stylesWithEffects.xml"/><Relationship Id="rId9" Type="http://schemas.openxmlformats.org/officeDocument/2006/relationships/hyperlink" Target="http://www.ismp.org/Newsletters/acutecare/issue.aspx?id=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532F-BEBE-4323-9FFC-B96962AF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2</cp:revision>
  <dcterms:created xsi:type="dcterms:W3CDTF">2014-08-13T04:09:00Z</dcterms:created>
  <dcterms:modified xsi:type="dcterms:W3CDTF">2014-08-13T04:09:00Z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