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E348" w14:textId="77777777" w:rsidR="00243C5F" w:rsidRDefault="00243C5F" w:rsidP="00625EA7">
      <w:pPr>
        <w:rPr>
          <w:rFonts w:eastAsia="Times New Roman" w:cs="Tahoma"/>
          <w:bCs/>
        </w:rPr>
      </w:pPr>
    </w:p>
    <w:p w14:paraId="1B59AA9B" w14:textId="2DA6CE68" w:rsidR="00625EA7" w:rsidRPr="00625EA7" w:rsidRDefault="00625EA7" w:rsidP="00625EA7">
      <w:pPr>
        <w:rPr>
          <w:rFonts w:eastAsia="Times New Roman" w:cs="Tahoma"/>
          <w:bCs/>
        </w:rPr>
      </w:pPr>
      <w:r w:rsidRPr="00625EA7">
        <w:rPr>
          <w:rFonts w:eastAsia="Times New Roman" w:cs="Tahoma"/>
          <w:bCs/>
        </w:rPr>
        <w:t>Th</w:t>
      </w:r>
      <w:r w:rsidR="009A78D6">
        <w:rPr>
          <w:rFonts w:eastAsia="Times New Roman" w:cs="Tahoma"/>
          <w:bCs/>
        </w:rPr>
        <w:t xml:space="preserve">e following </w:t>
      </w:r>
      <w:r w:rsidRPr="00625EA7">
        <w:rPr>
          <w:rFonts w:eastAsia="Times New Roman" w:cs="Tahoma"/>
          <w:bCs/>
        </w:rPr>
        <w:t>guideline</w:t>
      </w:r>
      <w:r w:rsidR="009A78D6">
        <w:rPr>
          <w:rFonts w:eastAsia="Times New Roman" w:cs="Tahoma"/>
          <w:bCs/>
        </w:rPr>
        <w:t xml:space="preserve"> are</w:t>
      </w:r>
      <w:r w:rsidRPr="00625EA7">
        <w:rPr>
          <w:rFonts w:eastAsia="Times New Roman" w:cs="Tahoma"/>
          <w:bCs/>
        </w:rPr>
        <w:t xml:space="preserve"> intended for situations in which a patient is anticipated to spend a prolonged time in areas where a procedure or imaging study will occur or where the patient will recover from a procedure or imaging study. Examples may include the following:</w:t>
      </w:r>
    </w:p>
    <w:p w14:paraId="59F2B122" w14:textId="77777777" w:rsidR="00625EA7" w:rsidRPr="00625EA7" w:rsidRDefault="00625EA7" w:rsidP="00625EA7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Patients coming from home who are undergoing interventional or diagnostic imaging procedure</w:t>
      </w:r>
    </w:p>
    <w:p w14:paraId="4E82415D" w14:textId="77777777" w:rsidR="00625EA7" w:rsidRPr="00625EA7" w:rsidRDefault="00625EA7" w:rsidP="00625EA7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Patients transferred from the emergency department for emergency procedure</w:t>
      </w:r>
    </w:p>
    <w:p w14:paraId="761268B8" w14:textId="77777777" w:rsidR="00625EA7" w:rsidRPr="00625EA7" w:rsidRDefault="00625EA7" w:rsidP="00625EA7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Patients transferred from inpatient bed to surgery or imaging study</w:t>
      </w:r>
    </w:p>
    <w:p w14:paraId="3B48562D" w14:textId="77777777" w:rsidR="00625EA7" w:rsidRPr="00625EA7" w:rsidRDefault="00625EA7" w:rsidP="00625EA7">
      <w:pPr>
        <w:spacing w:after="0" w:line="240" w:lineRule="auto"/>
        <w:ind w:left="720"/>
        <w:rPr>
          <w:rFonts w:eastAsia="Times New Roman" w:cs="Times New Roman"/>
        </w:rPr>
      </w:pPr>
    </w:p>
    <w:p w14:paraId="611ED596" w14:textId="77777777" w:rsidR="00625EA7" w:rsidRPr="00625EA7" w:rsidRDefault="00625EA7" w:rsidP="00625EA7">
      <w:pPr>
        <w:rPr>
          <w:rFonts w:eastAsia="Times New Roman" w:cs="Tahoma"/>
          <w:bCs/>
        </w:rPr>
      </w:pPr>
      <w:r w:rsidRPr="00625EA7">
        <w:rPr>
          <w:rFonts w:eastAsia="Times New Roman" w:cs="Tahoma"/>
          <w:bCs/>
        </w:rPr>
        <w:t>Areas of the hospital that may be candidates for use of this guideline include</w:t>
      </w:r>
    </w:p>
    <w:p w14:paraId="76F4C224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Pre-operative holding</w:t>
      </w:r>
    </w:p>
    <w:p w14:paraId="26C8D970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Post-anesthesia care unit (PACU)</w:t>
      </w:r>
    </w:p>
    <w:p w14:paraId="024A68FF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Operating room (OR)</w:t>
      </w:r>
    </w:p>
    <w:p w14:paraId="7BAAA0CD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Cardiac catheterization suite</w:t>
      </w:r>
    </w:p>
    <w:p w14:paraId="5BE7D215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Interventional radiology</w:t>
      </w:r>
    </w:p>
    <w:p w14:paraId="677358E7" w14:textId="77777777" w:rsidR="00625EA7" w:rsidRPr="00625EA7" w:rsidRDefault="00625EA7" w:rsidP="00625EA7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Outpatient procedures (e.g., endoscopy, arthroscopy, urologic procedure)</w:t>
      </w:r>
    </w:p>
    <w:p w14:paraId="4F2677A0" w14:textId="77777777" w:rsidR="00625EA7" w:rsidRPr="00625EA7" w:rsidRDefault="00625EA7" w:rsidP="00625EA7">
      <w:pPr>
        <w:rPr>
          <w:rFonts w:eastAsia="Times New Roman" w:cs="Tahoma"/>
        </w:rPr>
      </w:pPr>
    </w:p>
    <w:p w14:paraId="11C80993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Administration of AM basal or pre-mixed insulin dose (if applicable) </w:t>
      </w:r>
    </w:p>
    <w:p w14:paraId="4223F4B7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on chronic AM basal insulin (NPH, glargine, detemir), administer 50% of usual dose if patient has not already taken this prior to procedure</w:t>
      </w:r>
    </w:p>
    <w:p w14:paraId="786FDFAD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on a “pre-mixed insulin” (70/30, 75/25, 50/50) administer 33% of usual AM dose if patient has brought home insulin or order 33% of usual AM dose as NPH and administer as soon as possible on arrival</w:t>
      </w:r>
    </w:p>
    <w:p w14:paraId="76E4EFD2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See Preoperative Management Guideline for further details explaining situations for administration of pre-procedure basal insulin</w:t>
      </w:r>
    </w:p>
    <w:p w14:paraId="47D154C8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Perioperative blood glucose monitoring </w:t>
      </w:r>
    </w:p>
    <w:p w14:paraId="44AE627C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Check point-of-care (POC) glucose upon arrival to the hospital and every 4 hours while in the preoperative and postoperative areas (this is particularly important if surgery or procedure is late in the day or delayed substantially)</w:t>
      </w:r>
    </w:p>
    <w:p w14:paraId="7105031D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Check POC glucose hourly while in OR </w:t>
      </w:r>
    </w:p>
    <w:p w14:paraId="68556818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the patient is on IV insulin infusion, measure POC glucose at least every hour before, during, and after procedure</w:t>
      </w:r>
    </w:p>
    <w:p w14:paraId="2F874499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Periprocedure glucose monitoring</w:t>
      </w:r>
    </w:p>
    <w:p w14:paraId="735F804A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  <w:lang w:val="da-DK"/>
        </w:rPr>
      </w:pPr>
      <w:r w:rsidRPr="00625EA7">
        <w:rPr>
          <w:rFonts w:eastAsia="Times New Roman" w:cs="Times New Roman"/>
        </w:rPr>
        <w:t>Check POC glucose upon arrival to the hospital or procedure area and every 4 hours thereafter (this is particularly important if procedure is late in the day or delayed substantially)</w:t>
      </w:r>
      <w:r w:rsidRPr="00625EA7">
        <w:rPr>
          <w:rFonts w:eastAsia="Times New Roman" w:cs="Times New Roman"/>
          <w:lang w:val="da-DK"/>
        </w:rPr>
        <w:br w:type="page"/>
      </w:r>
    </w:p>
    <w:p w14:paraId="31C98780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  <w:lang w:val="da-DK"/>
        </w:rPr>
      </w:pPr>
      <w:r w:rsidRPr="00625EA7">
        <w:rPr>
          <w:rFonts w:eastAsia="Times New Roman" w:cs="Times New Roman"/>
          <w:lang w:val="da-DK"/>
        </w:rPr>
        <w:lastRenderedPageBreak/>
        <w:t>For hyperglycemia (glucose over 150 mg/dL)</w:t>
      </w:r>
    </w:p>
    <w:p w14:paraId="1B6013A4" w14:textId="61868B22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Administer regular insulin by sliding scale (</w:t>
      </w:r>
      <w:r w:rsidR="00822FAF">
        <w:rPr>
          <w:rFonts w:eastAsia="Times New Roman" w:cs="Times New Roman"/>
        </w:rPr>
        <w:t xml:space="preserve">low dose in </w:t>
      </w:r>
      <w:r w:rsidRPr="00625EA7">
        <w:rPr>
          <w:rFonts w:eastAsia="Times New Roman" w:cs="Times New Roman"/>
        </w:rPr>
        <w:t>computerized prescriber order entry [CPOE] system) for every elevated blood glucose measurement (but no more frequently than every 4 hours)</w:t>
      </w:r>
    </w:p>
    <w:p w14:paraId="4FDE41C2" w14:textId="77777777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&lt;150 mg/dL</w:t>
      </w:r>
      <w:r w:rsidRPr="00625EA7">
        <w:rPr>
          <w:rFonts w:eastAsia="Times New Roman" w:cs="Times New Roman"/>
        </w:rPr>
        <w:tab/>
        <w:t xml:space="preserve"> no insulin</w:t>
      </w:r>
    </w:p>
    <w:p w14:paraId="1C8D9EBF" w14:textId="77777777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151-200 mg/dL</w:t>
      </w:r>
      <w:r w:rsidRPr="00625EA7">
        <w:rPr>
          <w:rFonts w:eastAsia="Times New Roman" w:cs="Times New Roman"/>
        </w:rPr>
        <w:tab/>
        <w:t xml:space="preserve"> 1 units sc</w:t>
      </w:r>
    </w:p>
    <w:p w14:paraId="000FD51D" w14:textId="77777777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201-250 mg/dL</w:t>
      </w:r>
      <w:r w:rsidRPr="00625EA7">
        <w:rPr>
          <w:rFonts w:eastAsia="Times New Roman" w:cs="Times New Roman"/>
        </w:rPr>
        <w:tab/>
        <w:t xml:space="preserve"> 3 units sc</w:t>
      </w:r>
    </w:p>
    <w:p w14:paraId="7A6F7733" w14:textId="2D1D1539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251-300 mg/dL</w:t>
      </w:r>
      <w:r w:rsidRPr="00625EA7">
        <w:rPr>
          <w:rFonts w:eastAsia="Times New Roman" w:cs="Times New Roman"/>
        </w:rPr>
        <w:tab/>
        <w:t xml:space="preserve"> </w:t>
      </w:r>
      <w:r w:rsidR="00822FAF">
        <w:rPr>
          <w:rFonts w:eastAsia="Times New Roman" w:cs="Times New Roman"/>
        </w:rPr>
        <w:t>4</w:t>
      </w:r>
      <w:r w:rsidRPr="00625EA7">
        <w:rPr>
          <w:rFonts w:eastAsia="Times New Roman" w:cs="Times New Roman"/>
        </w:rPr>
        <w:t xml:space="preserve"> units sc</w:t>
      </w:r>
      <w:r w:rsidR="00822FAF">
        <w:rPr>
          <w:rFonts w:eastAsia="Times New Roman" w:cs="Times New Roman"/>
        </w:rPr>
        <w:t xml:space="preserve"> </w:t>
      </w:r>
    </w:p>
    <w:p w14:paraId="213CCC2D" w14:textId="3F5B9E17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301-350 mg/dL</w:t>
      </w:r>
      <w:r w:rsidRPr="00625EA7">
        <w:rPr>
          <w:rFonts w:eastAsia="Times New Roman" w:cs="Times New Roman"/>
        </w:rPr>
        <w:tab/>
        <w:t xml:space="preserve"> </w:t>
      </w:r>
      <w:r w:rsidR="00822FAF">
        <w:rPr>
          <w:rFonts w:eastAsia="Times New Roman" w:cs="Times New Roman"/>
        </w:rPr>
        <w:t>5</w:t>
      </w:r>
      <w:r w:rsidRPr="00625EA7">
        <w:rPr>
          <w:rFonts w:eastAsia="Times New Roman" w:cs="Times New Roman"/>
        </w:rPr>
        <w:t xml:space="preserve"> units sc</w:t>
      </w:r>
      <w:r w:rsidR="00822FAF">
        <w:rPr>
          <w:rFonts w:eastAsia="Times New Roman" w:cs="Times New Roman"/>
        </w:rPr>
        <w:t xml:space="preserve"> </w:t>
      </w:r>
      <w:bookmarkStart w:id="0" w:name="_GoBack"/>
      <w:bookmarkEnd w:id="0"/>
    </w:p>
    <w:p w14:paraId="3471AA26" w14:textId="77777777" w:rsidR="00625EA7" w:rsidRPr="00625EA7" w:rsidRDefault="00625EA7" w:rsidP="00243C5F">
      <w:pPr>
        <w:numPr>
          <w:ilvl w:val="2"/>
          <w:numId w:val="11"/>
        </w:numPr>
        <w:spacing w:after="120" w:line="240" w:lineRule="auto"/>
        <w:ind w:left="2520" w:hanging="540"/>
        <w:rPr>
          <w:rFonts w:eastAsia="Times New Roman" w:cs="Times New Roman"/>
        </w:rPr>
      </w:pPr>
      <w:r w:rsidRPr="00625EA7">
        <w:rPr>
          <w:rFonts w:eastAsia="Times New Roman" w:cs="Times New Roman"/>
        </w:rPr>
        <w:t>BG &gt;350 mg/dL</w:t>
      </w:r>
      <w:r w:rsidRPr="00625EA7">
        <w:rPr>
          <w:rFonts w:eastAsia="Times New Roman" w:cs="Times New Roman"/>
        </w:rPr>
        <w:tab/>
        <w:t xml:space="preserve"> Call MD</w:t>
      </w:r>
    </w:p>
    <w:p w14:paraId="1C170937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glucose is &gt; 200 mg/dL for longer than 4 hours</w:t>
      </w:r>
    </w:p>
    <w:p w14:paraId="3AC9455E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Consider starting IV insulin protocol </w:t>
      </w:r>
      <w:r w:rsidRPr="00243C5F">
        <w:rPr>
          <w:rFonts w:eastAsia="Times New Roman" w:cs="Times New Roman"/>
          <w:color w:val="FF0000"/>
        </w:rPr>
        <w:t xml:space="preserve">[insert path to protocol] </w:t>
      </w:r>
      <w:r w:rsidRPr="00625EA7">
        <w:rPr>
          <w:rFonts w:eastAsia="Times New Roman" w:cs="Times New Roman"/>
        </w:rPr>
        <w:t>if possible (PACU/OR)</w:t>
      </w:r>
    </w:p>
    <w:p w14:paraId="5676FE70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hypoglycemia</w:t>
      </w:r>
    </w:p>
    <w:p w14:paraId="2E0BFFFB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glucose is &lt; 100 mg/dL</w:t>
      </w:r>
    </w:p>
    <w:p w14:paraId="1D680C3D" w14:textId="00520F5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Increase glucose monit</w:t>
      </w:r>
      <w:r w:rsidR="00822FAF">
        <w:rPr>
          <w:rFonts w:eastAsia="Times New Roman" w:cs="Times New Roman"/>
        </w:rPr>
        <w:t xml:space="preserve">oring frequency to every 60 minutes </w:t>
      </w:r>
      <w:r w:rsidRPr="00625EA7">
        <w:rPr>
          <w:rFonts w:eastAsia="Times New Roman" w:cs="Times New Roman"/>
        </w:rPr>
        <w:t>until stable for 2 hours</w:t>
      </w:r>
    </w:p>
    <w:p w14:paraId="3BAA41A6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Consider continuous glucose (D5W or D10W) infusion during the surgery or procedure, titrated to maintain BG 100-150 mg/dL. (This is necessary if patient has received any insulin or sulfonylurea medication in 24 hours.)</w:t>
      </w:r>
    </w:p>
    <w:p w14:paraId="0DA54DB5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glucose at any time is &lt;70 mg/dL</w:t>
      </w:r>
    </w:p>
    <w:p w14:paraId="19A2C869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Give 1 ampule (25 g) D</w:t>
      </w:r>
      <w:r w:rsidRPr="00625EA7">
        <w:rPr>
          <w:rFonts w:eastAsia="Times New Roman" w:cs="Times New Roman"/>
          <w:vertAlign w:val="subscript"/>
        </w:rPr>
        <w:t>50</w:t>
      </w:r>
      <w:r w:rsidRPr="00625EA7">
        <w:rPr>
          <w:rFonts w:eastAsia="Times New Roman" w:cs="Times New Roman"/>
        </w:rPr>
        <w:t xml:space="preserve"> IVP and then start D5W or D10W IV infusion and titrate rate to maintain glucose 100-150 mg/dL. </w:t>
      </w:r>
    </w:p>
    <w:p w14:paraId="14EF2BB4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on IV insulin</w:t>
      </w:r>
    </w:p>
    <w:p w14:paraId="366C5DC6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For patients requiring interruption of IV insulin drip for a procedure of anticipated duration of less than 120 minutes </w:t>
      </w:r>
    </w:p>
    <w:p w14:paraId="76565669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Stop insulin infusion on departure from unit </w:t>
      </w:r>
    </w:p>
    <w:p w14:paraId="693DE00B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procedure unexpectedly requires patient to be off floor beyond 2 hours, POC testing should be done at site of procedure and regular insulin sliding scale administered every 4 hours as in point 4 above until returning from procedure</w:t>
      </w:r>
    </w:p>
    <w:p w14:paraId="05C90767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requiring interruption of IV insulin drip for a procedure for anticipated duration of greater than 120 minutes</w:t>
      </w:r>
    </w:p>
    <w:p w14:paraId="0C2DA222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Subcutaneous regular insulin should be given subcutaneously prior to stopping IV insulin: suggested dose would be current drip rate (example if current rate is 3 units/hour, a dose of 3 units regular insulin would be given sc) for 2-4 hour procedure; 10 units max</w:t>
      </w:r>
    </w:p>
    <w:p w14:paraId="4DB1B02B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 xml:space="preserve">Contact primary team for appropriate insulin dose orders </w:t>
      </w:r>
    </w:p>
    <w:p w14:paraId="34C035D7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Resume IV insulin upon completion of procedure and returning to care area</w:t>
      </w:r>
    </w:p>
    <w:p w14:paraId="4CDE593D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lastRenderedPageBreak/>
        <w:t>For interruptions of IV insulin lasting longer than 4 hours, glucose level should be obtained during procedure and sliding scale insulin administered as per point 4 above.</w:t>
      </w:r>
    </w:p>
    <w:p w14:paraId="091254BA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on IV insulin drip following procedure either started during procedure or continued from before procedure</w:t>
      </w:r>
    </w:p>
    <w:p w14:paraId="1F4915B3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Determine need to continue IV insulin: appropriate for patients returning to ICU settings</w:t>
      </w:r>
    </w:p>
    <w:p w14:paraId="51D23B5C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Subcutaneous insulin should be given prior to stopping IV insulin</w:t>
      </w:r>
    </w:p>
    <w:p w14:paraId="093C0F44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See glucose control order set for assistance</w:t>
      </w:r>
    </w:p>
    <w:p w14:paraId="2376CEDB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For patients self-managing with insulin pump</w:t>
      </w:r>
    </w:p>
    <w:p w14:paraId="1FEA66CD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Test glucose on arrival and at least every 4 hours</w:t>
      </w:r>
    </w:p>
    <w:p w14:paraId="7E7685A2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  <w:lang w:val="da-DK"/>
        </w:rPr>
      </w:pPr>
      <w:r w:rsidRPr="00625EA7">
        <w:rPr>
          <w:rFonts w:eastAsia="Times New Roman" w:cs="Times New Roman"/>
          <w:lang w:val="da-DK"/>
        </w:rPr>
        <w:t>For hyperglycemia (BG &gt;150 mg/dL)</w:t>
      </w:r>
    </w:p>
    <w:p w14:paraId="23F19CC7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Patient to administer correctional insulin if awake and alert</w:t>
      </w:r>
    </w:p>
    <w:p w14:paraId="07183AC4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patient unable to administer correctional insulin with pump device, use sliding scale insulin as above</w:t>
      </w:r>
    </w:p>
    <w:p w14:paraId="479314B8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  <w:lang w:val="da-DK"/>
        </w:rPr>
      </w:pPr>
      <w:r w:rsidRPr="00625EA7">
        <w:rPr>
          <w:rFonts w:eastAsia="Times New Roman" w:cs="Times New Roman"/>
          <w:lang w:val="da-DK"/>
        </w:rPr>
        <w:t>For hypoglycemia (BG &lt;100 mg/dL)</w:t>
      </w:r>
    </w:p>
    <w:p w14:paraId="708EB46D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Administer glucose as per protocol above</w:t>
      </w:r>
    </w:p>
    <w:p w14:paraId="2DACB4C8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patient awake and alert, patient will adjust rate on device</w:t>
      </w:r>
    </w:p>
    <w:p w14:paraId="55A027CF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patient unable to adjust device, remove device and use insulin as above</w:t>
      </w:r>
    </w:p>
    <w:p w14:paraId="7C241127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Duration of procedure</w:t>
      </w:r>
    </w:p>
    <w:p w14:paraId="0EB30706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anticipated duration &lt;2 hours, pump may continue to infuse</w:t>
      </w:r>
    </w:p>
    <w:p w14:paraId="05211C6B" w14:textId="77777777" w:rsidR="00625EA7" w:rsidRPr="00625EA7" w:rsidRDefault="00625EA7" w:rsidP="00243C5F">
      <w:pPr>
        <w:numPr>
          <w:ilvl w:val="2"/>
          <w:numId w:val="10"/>
        </w:numPr>
        <w:spacing w:after="120" w:line="240" w:lineRule="auto"/>
        <w:rPr>
          <w:rFonts w:eastAsia="Times New Roman" w:cs="Times New Roman"/>
        </w:rPr>
      </w:pPr>
      <w:r w:rsidRPr="00625EA7">
        <w:rPr>
          <w:rFonts w:eastAsia="Times New Roman" w:cs="Times New Roman"/>
        </w:rPr>
        <w:t>If anticipated duration &gt;2 hours, consider suspending pump use during procedure and using IV insulin (if capability available) until patient able to self-manage pump. In areas where IV insulin is not available, stable patients may continue to pump use.</w:t>
      </w:r>
    </w:p>
    <w:p w14:paraId="624BE0ED" w14:textId="77777777" w:rsidR="00625EA7" w:rsidRPr="00625EA7" w:rsidRDefault="00625EA7" w:rsidP="00243C5F">
      <w:pPr>
        <w:numPr>
          <w:ilvl w:val="0"/>
          <w:numId w:val="10"/>
        </w:numPr>
        <w:spacing w:after="120" w:line="240" w:lineRule="auto"/>
        <w:rPr>
          <w:rFonts w:eastAsia="Times New Roman" w:cs="Tahoma"/>
        </w:rPr>
      </w:pPr>
      <w:r w:rsidRPr="00625EA7">
        <w:rPr>
          <w:rFonts w:eastAsia="Times New Roman" w:cs="Tahoma"/>
        </w:rPr>
        <w:t>For patients to be admitted</w:t>
      </w:r>
    </w:p>
    <w:p w14:paraId="1400DCCF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ahoma"/>
        </w:rPr>
      </w:pPr>
      <w:r w:rsidRPr="00625EA7">
        <w:rPr>
          <w:rFonts w:eastAsia="Times New Roman" w:cs="Tahoma"/>
        </w:rPr>
        <w:t>Basal insulin dose should be ordered with order for sliding scale</w:t>
      </w:r>
    </w:p>
    <w:p w14:paraId="0023BC95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ahoma"/>
        </w:rPr>
      </w:pPr>
      <w:r w:rsidRPr="00625EA7">
        <w:rPr>
          <w:rFonts w:eastAsia="Times New Roman" w:cs="Tahoma"/>
        </w:rPr>
        <w:t>If basal insulin dose not known, use 0.15-0.2 units/kg/day as starting basal insulin dose (glargine give full dose once a day, NPH give 50% bid)</w:t>
      </w:r>
    </w:p>
    <w:p w14:paraId="76064943" w14:textId="77777777" w:rsidR="00625EA7" w:rsidRPr="00625EA7" w:rsidRDefault="00625EA7" w:rsidP="00243C5F">
      <w:pPr>
        <w:numPr>
          <w:ilvl w:val="1"/>
          <w:numId w:val="10"/>
        </w:numPr>
        <w:spacing w:after="120" w:line="240" w:lineRule="auto"/>
        <w:rPr>
          <w:rFonts w:eastAsia="Times New Roman" w:cs="Tahoma"/>
        </w:rPr>
      </w:pPr>
      <w:r w:rsidRPr="00625EA7">
        <w:rPr>
          <w:rFonts w:eastAsia="Times New Roman" w:cs="Tahoma"/>
        </w:rPr>
        <w:t>Admitting house staff should order</w:t>
      </w:r>
    </w:p>
    <w:p w14:paraId="6A3584D4" w14:textId="77777777" w:rsidR="00625EA7" w:rsidRPr="00625EA7" w:rsidRDefault="00625EA7" w:rsidP="00243C5F">
      <w:pPr>
        <w:spacing w:after="120"/>
        <w:rPr>
          <w:rFonts w:eastAsia="Times New Roman" w:cs="Tahoma"/>
        </w:rPr>
      </w:pPr>
    </w:p>
    <w:p w14:paraId="22359A0D" w14:textId="77777777" w:rsidR="00625EA7" w:rsidRPr="00625EA7" w:rsidRDefault="00625EA7" w:rsidP="00625EA7">
      <w:pPr>
        <w:rPr>
          <w:rFonts w:eastAsia="Times New Roman" w:cs="Tahoma"/>
        </w:rPr>
      </w:pPr>
    </w:p>
    <w:p w14:paraId="7D63A0D0" w14:textId="77777777" w:rsidR="00625EA7" w:rsidRPr="00625EA7" w:rsidRDefault="00625EA7" w:rsidP="00625EA7">
      <w:pPr>
        <w:rPr>
          <w:rFonts w:eastAsia="Times New Roman" w:cs="Tahoma"/>
          <w:b/>
          <w:bCs/>
        </w:rPr>
      </w:pPr>
      <w:r w:rsidRPr="00625EA7">
        <w:rPr>
          <w:rFonts w:eastAsia="Times New Roman" w:cs="Tahoma"/>
          <w:b/>
          <w:bCs/>
        </w:rPr>
        <w:t xml:space="preserve">Diabetes Management Service </w:t>
      </w:r>
      <w:r w:rsidRPr="00625EA7">
        <w:rPr>
          <w:rFonts w:eastAsia="Times New Roman" w:cs="Tahoma"/>
          <w:b/>
          <w:bCs/>
          <w:color w:val="FF0000"/>
        </w:rPr>
        <w:t>[insert pager number]</w:t>
      </w:r>
    </w:p>
    <w:p w14:paraId="721D3F53" w14:textId="77777777" w:rsidR="00625EA7" w:rsidRPr="00625EA7" w:rsidRDefault="00625EA7" w:rsidP="00625EA7">
      <w:pPr>
        <w:rPr>
          <w:rFonts w:eastAsia="Times New Roman" w:cs="Tahoma"/>
          <w:b/>
          <w:bCs/>
        </w:rPr>
      </w:pPr>
      <w:r w:rsidRPr="00625EA7">
        <w:rPr>
          <w:rFonts w:eastAsia="Times New Roman" w:cs="Tahoma"/>
          <w:b/>
          <w:bCs/>
        </w:rPr>
        <w:t xml:space="preserve">Endocrine Consult Service </w:t>
      </w:r>
      <w:r w:rsidRPr="00625EA7">
        <w:rPr>
          <w:rFonts w:eastAsia="Times New Roman" w:cs="Tahoma"/>
          <w:b/>
          <w:bCs/>
          <w:color w:val="FF0000"/>
        </w:rPr>
        <w:t>[insert pager number]</w:t>
      </w:r>
    </w:p>
    <w:sectPr w:rsidR="00625EA7" w:rsidRPr="00625EA7" w:rsidSect="00745B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5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F7090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9C1A" w14:textId="77777777" w:rsidR="00526A6F" w:rsidRDefault="00526A6F" w:rsidP="009723B0">
      <w:pPr>
        <w:spacing w:after="0" w:line="240" w:lineRule="auto"/>
      </w:pPr>
      <w:r>
        <w:separator/>
      </w:r>
    </w:p>
  </w:endnote>
  <w:endnote w:type="continuationSeparator" w:id="0">
    <w:p w14:paraId="6B8BD0D6" w14:textId="77777777" w:rsidR="00526A6F" w:rsidRDefault="00526A6F" w:rsidP="0097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39034904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812975855"/>
          <w:docPartObj>
            <w:docPartGallery w:val="Page Numbers (Top of Page)"/>
            <w:docPartUnique/>
          </w:docPartObj>
        </w:sdtPr>
        <w:sdtEndPr/>
        <w:sdtContent>
          <w:p w14:paraId="4C0D5F44" w14:textId="0587C451" w:rsidR="008F3F98" w:rsidRPr="00E06644" w:rsidRDefault="008F3F98" w:rsidP="008F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Pr="00E06644">
              <w:rPr>
                <w:sz w:val="18"/>
                <w:szCs w:val="18"/>
              </w:rPr>
              <w:t xml:space="preserve"> by ASHP Advantage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A5579">
              <w:rPr>
                <w:sz w:val="18"/>
                <w:szCs w:val="18"/>
              </w:rPr>
              <w:t>Jun</w:t>
            </w:r>
            <w:r w:rsidR="00625EA7">
              <w:rPr>
                <w:sz w:val="18"/>
                <w:szCs w:val="18"/>
              </w:rPr>
              <w:t>-1</w:t>
            </w:r>
            <w:r w:rsidR="003A5579">
              <w:rPr>
                <w:sz w:val="18"/>
                <w:szCs w:val="18"/>
              </w:rPr>
              <w:t>5</w:t>
            </w:r>
          </w:p>
          <w:p w14:paraId="380C866D" w14:textId="77777777" w:rsidR="004E7A1C" w:rsidRPr="00264813" w:rsidRDefault="008F3F98" w:rsidP="00C259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E7A1C" w:rsidRPr="00C25938">
              <w:rPr>
                <w:sz w:val="18"/>
                <w:szCs w:val="18"/>
              </w:rPr>
              <w:t xml:space="preserve">Page </w:t>
            </w:r>
            <w:r w:rsidR="004E7A1C" w:rsidRPr="00C25938">
              <w:rPr>
                <w:bCs/>
                <w:sz w:val="18"/>
                <w:szCs w:val="18"/>
              </w:rPr>
              <w:fldChar w:fldCharType="begin"/>
            </w:r>
            <w:r w:rsidR="004E7A1C" w:rsidRPr="00C25938">
              <w:rPr>
                <w:bCs/>
                <w:sz w:val="18"/>
                <w:szCs w:val="18"/>
              </w:rPr>
              <w:instrText xml:space="preserve"> PAGE </w:instrText>
            </w:r>
            <w:r w:rsidR="004E7A1C" w:rsidRPr="00C25938">
              <w:rPr>
                <w:bCs/>
                <w:sz w:val="18"/>
                <w:szCs w:val="18"/>
              </w:rPr>
              <w:fldChar w:fldCharType="separate"/>
            </w:r>
            <w:r w:rsidR="00BA126C">
              <w:rPr>
                <w:bCs/>
                <w:noProof/>
                <w:sz w:val="18"/>
                <w:szCs w:val="18"/>
              </w:rPr>
              <w:t>2</w:t>
            </w:r>
            <w:r w:rsidR="004E7A1C" w:rsidRPr="00C25938">
              <w:rPr>
                <w:bCs/>
                <w:sz w:val="18"/>
                <w:szCs w:val="18"/>
              </w:rPr>
              <w:fldChar w:fldCharType="end"/>
            </w:r>
            <w:r w:rsidR="004E7A1C" w:rsidRPr="00C25938">
              <w:rPr>
                <w:sz w:val="18"/>
                <w:szCs w:val="18"/>
              </w:rPr>
              <w:t xml:space="preserve"> of </w:t>
            </w:r>
            <w:r w:rsidR="004E7A1C" w:rsidRPr="00C25938">
              <w:rPr>
                <w:bCs/>
                <w:sz w:val="18"/>
                <w:szCs w:val="18"/>
              </w:rPr>
              <w:fldChar w:fldCharType="begin"/>
            </w:r>
            <w:r w:rsidR="004E7A1C" w:rsidRPr="00C25938">
              <w:rPr>
                <w:bCs/>
                <w:sz w:val="18"/>
                <w:szCs w:val="18"/>
              </w:rPr>
              <w:instrText xml:space="preserve"> NUMPAGES  </w:instrText>
            </w:r>
            <w:r w:rsidR="004E7A1C" w:rsidRPr="00C25938">
              <w:rPr>
                <w:bCs/>
                <w:sz w:val="18"/>
                <w:szCs w:val="18"/>
              </w:rPr>
              <w:fldChar w:fldCharType="separate"/>
            </w:r>
            <w:r w:rsidR="00BA126C">
              <w:rPr>
                <w:bCs/>
                <w:noProof/>
                <w:sz w:val="18"/>
                <w:szCs w:val="18"/>
              </w:rPr>
              <w:t>3</w:t>
            </w:r>
            <w:r w:rsidR="004E7A1C" w:rsidRPr="00C2593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17222880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sdt>
        <w:sdtPr>
          <w:rPr>
            <w:sz w:val="18"/>
            <w:szCs w:val="18"/>
          </w:rPr>
          <w:id w:val="1242365122"/>
          <w:docPartObj>
            <w:docPartGallery w:val="Page Numbers (Top of Page)"/>
            <w:docPartUnique/>
          </w:docPartObj>
        </w:sdtPr>
        <w:sdtEndPr/>
        <w:sdtContent>
          <w:p w14:paraId="1A745595" w14:textId="77777777" w:rsidR="00297488" w:rsidRDefault="00C25637" w:rsidP="00C259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="00E06644" w:rsidRPr="00E06644">
              <w:rPr>
                <w:sz w:val="18"/>
                <w:szCs w:val="18"/>
              </w:rPr>
              <w:t xml:space="preserve"> by ASHP Advantage</w:t>
            </w:r>
            <w:r w:rsidR="00297488">
              <w:rPr>
                <w:sz w:val="18"/>
                <w:szCs w:val="18"/>
              </w:rPr>
              <w:t xml:space="preserve"> </w:t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BC68C2">
              <w:rPr>
                <w:sz w:val="18"/>
                <w:szCs w:val="18"/>
                <w:highlight w:val="yellow"/>
              </w:rPr>
              <w:fldChar w:fldCharType="begin"/>
            </w:r>
            <w:r w:rsidR="00BC68C2">
              <w:rPr>
                <w:sz w:val="18"/>
                <w:szCs w:val="18"/>
                <w:highlight w:val="yellow"/>
              </w:rPr>
              <w:instrText xml:space="preserve"> DATE  \@ "MMM-yy" </w:instrText>
            </w:r>
            <w:r w:rsidR="00BC68C2">
              <w:rPr>
                <w:sz w:val="18"/>
                <w:szCs w:val="18"/>
                <w:highlight w:val="yellow"/>
              </w:rPr>
              <w:fldChar w:fldCharType="separate"/>
            </w:r>
            <w:r w:rsidR="00BA126C">
              <w:rPr>
                <w:noProof/>
                <w:sz w:val="18"/>
                <w:szCs w:val="18"/>
                <w:highlight w:val="yellow"/>
              </w:rPr>
              <w:t>Aug-16</w:t>
            </w:r>
            <w:r w:rsidR="00BC68C2">
              <w:rPr>
                <w:sz w:val="18"/>
                <w:szCs w:val="18"/>
                <w:highlight w:val="yellow"/>
              </w:rPr>
              <w:fldChar w:fldCharType="end"/>
            </w:r>
            <w:r w:rsidR="00297488">
              <w:rPr>
                <w:sz w:val="18"/>
                <w:szCs w:val="18"/>
              </w:rPr>
              <w:tab/>
            </w:r>
          </w:p>
          <w:p w14:paraId="7C03F497" w14:textId="77777777" w:rsidR="00264813" w:rsidRPr="00264813" w:rsidRDefault="00E06644" w:rsidP="00C25938">
            <w:pPr>
              <w:spacing w:after="0" w:line="240" w:lineRule="auto"/>
              <w:rPr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264813" w:rsidRPr="00264813">
              <w:rPr>
                <w:sz w:val="18"/>
                <w:szCs w:val="18"/>
              </w:rPr>
              <w:t xml:space="preserve">Page </w:t>
            </w:r>
            <w:r w:rsidR="00264813" w:rsidRPr="00264813">
              <w:rPr>
                <w:bCs/>
                <w:sz w:val="18"/>
                <w:szCs w:val="18"/>
              </w:rPr>
              <w:fldChar w:fldCharType="begin"/>
            </w:r>
            <w:r w:rsidR="00264813" w:rsidRPr="00264813">
              <w:rPr>
                <w:bCs/>
                <w:sz w:val="18"/>
                <w:szCs w:val="18"/>
              </w:rPr>
              <w:instrText xml:space="preserve"> PAGE </w:instrText>
            </w:r>
            <w:r w:rsidR="00264813" w:rsidRPr="00264813">
              <w:rPr>
                <w:bCs/>
                <w:sz w:val="18"/>
                <w:szCs w:val="18"/>
              </w:rPr>
              <w:fldChar w:fldCharType="separate"/>
            </w:r>
            <w:r w:rsidR="00745B1A">
              <w:rPr>
                <w:bCs/>
                <w:noProof/>
                <w:sz w:val="18"/>
                <w:szCs w:val="18"/>
              </w:rPr>
              <w:t>1</w:t>
            </w:r>
            <w:r w:rsidR="00264813" w:rsidRPr="00264813">
              <w:rPr>
                <w:bCs/>
                <w:sz w:val="18"/>
                <w:szCs w:val="18"/>
              </w:rPr>
              <w:fldChar w:fldCharType="end"/>
            </w:r>
            <w:r w:rsidR="00264813" w:rsidRPr="00264813">
              <w:rPr>
                <w:sz w:val="18"/>
                <w:szCs w:val="18"/>
              </w:rPr>
              <w:t xml:space="preserve"> of </w:t>
            </w:r>
            <w:r w:rsidR="00264813" w:rsidRPr="00264813">
              <w:rPr>
                <w:bCs/>
                <w:sz w:val="18"/>
                <w:szCs w:val="18"/>
              </w:rPr>
              <w:fldChar w:fldCharType="begin"/>
            </w:r>
            <w:r w:rsidR="00264813" w:rsidRPr="00264813">
              <w:rPr>
                <w:bCs/>
                <w:sz w:val="18"/>
                <w:szCs w:val="18"/>
              </w:rPr>
              <w:instrText xml:space="preserve"> NUMPAGES  </w:instrText>
            </w:r>
            <w:r w:rsidR="00264813" w:rsidRPr="00264813">
              <w:rPr>
                <w:bCs/>
                <w:sz w:val="18"/>
                <w:szCs w:val="18"/>
              </w:rPr>
              <w:fldChar w:fldCharType="separate"/>
            </w:r>
            <w:r w:rsidR="00745B1A">
              <w:rPr>
                <w:bCs/>
                <w:noProof/>
                <w:sz w:val="18"/>
                <w:szCs w:val="18"/>
              </w:rPr>
              <w:t>2</w:t>
            </w:r>
            <w:r w:rsidR="00264813" w:rsidRPr="0026481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2384" w14:textId="77777777" w:rsidR="00526A6F" w:rsidRDefault="00526A6F" w:rsidP="009723B0">
      <w:pPr>
        <w:spacing w:after="0" w:line="240" w:lineRule="auto"/>
      </w:pPr>
      <w:r>
        <w:separator/>
      </w:r>
    </w:p>
  </w:footnote>
  <w:footnote w:type="continuationSeparator" w:id="0">
    <w:p w14:paraId="6E69832E" w14:textId="77777777" w:rsidR="00526A6F" w:rsidRDefault="00526A6F" w:rsidP="0097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3D51" w14:textId="68A8ACC1" w:rsidR="00745B1A" w:rsidRDefault="00625EA7" w:rsidP="00625EA7">
    <w:pPr>
      <w:pStyle w:val="Header"/>
      <w:jc w:val="center"/>
    </w:pPr>
    <w:r w:rsidRPr="00625EA7">
      <w:rPr>
        <w:b/>
        <w:sz w:val="28"/>
        <w:szCs w:val="32"/>
      </w:rPr>
      <w:t>Sample Guideline</w:t>
    </w:r>
    <w:r w:rsidR="009A78D6">
      <w:rPr>
        <w:b/>
        <w:sz w:val="28"/>
        <w:szCs w:val="32"/>
      </w:rPr>
      <w:t>s</w:t>
    </w:r>
    <w:r w:rsidRPr="00625EA7">
      <w:rPr>
        <w:b/>
        <w:sz w:val="28"/>
        <w:szCs w:val="32"/>
      </w:rPr>
      <w:t>: Perioperative/Periprocedure Glucose Management for Patients with Diabetes or Hyperglycemia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0267" w14:textId="77777777" w:rsidR="00A24E5E" w:rsidRDefault="00A24E5E" w:rsidP="00DB7745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Enter document title here to automatically place on subsequent headers</w:t>
    </w:r>
  </w:p>
  <w:p w14:paraId="313FD40E" w14:textId="77777777" w:rsidR="009723B0" w:rsidRPr="00264813" w:rsidRDefault="009723B0" w:rsidP="00264813">
    <w:pPr>
      <w:pStyle w:val="Header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CC9"/>
    <w:multiLevelType w:val="hybridMultilevel"/>
    <w:tmpl w:val="F1F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1152"/>
    <w:multiLevelType w:val="hybridMultilevel"/>
    <w:tmpl w:val="3308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C61"/>
    <w:multiLevelType w:val="hybridMultilevel"/>
    <w:tmpl w:val="F25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0192"/>
    <w:multiLevelType w:val="hybridMultilevel"/>
    <w:tmpl w:val="E00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13B0"/>
    <w:multiLevelType w:val="hybridMultilevel"/>
    <w:tmpl w:val="1BD6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0D8"/>
    <w:multiLevelType w:val="hybridMultilevel"/>
    <w:tmpl w:val="994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61AE6"/>
    <w:multiLevelType w:val="hybridMultilevel"/>
    <w:tmpl w:val="7EC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3FFD"/>
    <w:multiLevelType w:val="hybridMultilevel"/>
    <w:tmpl w:val="2AA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60D1D"/>
    <w:multiLevelType w:val="hybridMultilevel"/>
    <w:tmpl w:val="6F9041D6"/>
    <w:lvl w:ilvl="0" w:tplc="122EAE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32"/>
        <w:szCs w:val="32"/>
      </w:rPr>
    </w:lvl>
    <w:lvl w:ilvl="1" w:tplc="4E8A9408">
      <w:start w:val="1"/>
      <w:numFmt w:val="bullet"/>
      <w:lvlText w:val="–"/>
      <w:lvlJc w:val="left"/>
      <w:pPr>
        <w:ind w:hanging="216"/>
      </w:pPr>
      <w:rPr>
        <w:rFonts w:ascii="Symbol" w:eastAsia="Symbol" w:hAnsi="Symbol" w:hint="default"/>
        <w:w w:val="99"/>
        <w:sz w:val="32"/>
        <w:szCs w:val="32"/>
      </w:rPr>
    </w:lvl>
    <w:lvl w:ilvl="2" w:tplc="6B30A658">
      <w:start w:val="1"/>
      <w:numFmt w:val="bullet"/>
      <w:lvlText w:val="•"/>
      <w:lvlJc w:val="left"/>
      <w:rPr>
        <w:rFonts w:hint="default"/>
      </w:rPr>
    </w:lvl>
    <w:lvl w:ilvl="3" w:tplc="01A0A90A">
      <w:start w:val="1"/>
      <w:numFmt w:val="bullet"/>
      <w:lvlText w:val="•"/>
      <w:lvlJc w:val="left"/>
      <w:rPr>
        <w:rFonts w:hint="default"/>
      </w:rPr>
    </w:lvl>
    <w:lvl w:ilvl="4" w:tplc="903AAE30">
      <w:start w:val="1"/>
      <w:numFmt w:val="bullet"/>
      <w:lvlText w:val="•"/>
      <w:lvlJc w:val="left"/>
      <w:rPr>
        <w:rFonts w:hint="default"/>
      </w:rPr>
    </w:lvl>
    <w:lvl w:ilvl="5" w:tplc="E93A19E8">
      <w:start w:val="1"/>
      <w:numFmt w:val="bullet"/>
      <w:lvlText w:val="•"/>
      <w:lvlJc w:val="left"/>
      <w:rPr>
        <w:rFonts w:hint="default"/>
      </w:rPr>
    </w:lvl>
    <w:lvl w:ilvl="6" w:tplc="2AC2B030">
      <w:start w:val="1"/>
      <w:numFmt w:val="bullet"/>
      <w:lvlText w:val="•"/>
      <w:lvlJc w:val="left"/>
      <w:rPr>
        <w:rFonts w:hint="default"/>
      </w:rPr>
    </w:lvl>
    <w:lvl w:ilvl="7" w:tplc="9AFC276C">
      <w:start w:val="1"/>
      <w:numFmt w:val="bullet"/>
      <w:lvlText w:val="•"/>
      <w:lvlJc w:val="left"/>
      <w:rPr>
        <w:rFonts w:hint="default"/>
      </w:rPr>
    </w:lvl>
    <w:lvl w:ilvl="8" w:tplc="B6BCF6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5B576C"/>
    <w:multiLevelType w:val="hybridMultilevel"/>
    <w:tmpl w:val="B98C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7A3A"/>
    <w:multiLevelType w:val="hybridMultilevel"/>
    <w:tmpl w:val="9168D5CE"/>
    <w:lvl w:ilvl="0" w:tplc="E500E3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46"/>
        <w:szCs w:val="46"/>
      </w:rPr>
    </w:lvl>
    <w:lvl w:ilvl="1" w:tplc="66506F8C">
      <w:start w:val="1"/>
      <w:numFmt w:val="bullet"/>
      <w:lvlText w:val="•"/>
      <w:lvlJc w:val="left"/>
      <w:rPr>
        <w:rFonts w:hint="default"/>
      </w:rPr>
    </w:lvl>
    <w:lvl w:ilvl="2" w:tplc="B49A1094">
      <w:start w:val="1"/>
      <w:numFmt w:val="bullet"/>
      <w:lvlText w:val="•"/>
      <w:lvlJc w:val="left"/>
      <w:rPr>
        <w:rFonts w:hint="default"/>
      </w:rPr>
    </w:lvl>
    <w:lvl w:ilvl="3" w:tplc="7E9E1714">
      <w:start w:val="1"/>
      <w:numFmt w:val="bullet"/>
      <w:lvlText w:val="•"/>
      <w:lvlJc w:val="left"/>
      <w:rPr>
        <w:rFonts w:hint="default"/>
      </w:rPr>
    </w:lvl>
    <w:lvl w:ilvl="4" w:tplc="9FAE55CE">
      <w:start w:val="1"/>
      <w:numFmt w:val="bullet"/>
      <w:lvlText w:val="•"/>
      <w:lvlJc w:val="left"/>
      <w:rPr>
        <w:rFonts w:hint="default"/>
      </w:rPr>
    </w:lvl>
    <w:lvl w:ilvl="5" w:tplc="4CEA070A">
      <w:start w:val="1"/>
      <w:numFmt w:val="bullet"/>
      <w:lvlText w:val="•"/>
      <w:lvlJc w:val="left"/>
      <w:rPr>
        <w:rFonts w:hint="default"/>
      </w:rPr>
    </w:lvl>
    <w:lvl w:ilvl="6" w:tplc="4E10153E">
      <w:start w:val="1"/>
      <w:numFmt w:val="bullet"/>
      <w:lvlText w:val="•"/>
      <w:lvlJc w:val="left"/>
      <w:rPr>
        <w:rFonts w:hint="default"/>
      </w:rPr>
    </w:lvl>
    <w:lvl w:ilvl="7" w:tplc="664A9D86">
      <w:start w:val="1"/>
      <w:numFmt w:val="bullet"/>
      <w:lvlText w:val="•"/>
      <w:lvlJc w:val="left"/>
      <w:rPr>
        <w:rFonts w:hint="default"/>
      </w:rPr>
    </w:lvl>
    <w:lvl w:ilvl="8" w:tplc="8AE0154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3"/>
    <w:rsid w:val="00020D24"/>
    <w:rsid w:val="00062D89"/>
    <w:rsid w:val="00146BB1"/>
    <w:rsid w:val="00156A61"/>
    <w:rsid w:val="001578A9"/>
    <w:rsid w:val="001B375C"/>
    <w:rsid w:val="00232E7E"/>
    <w:rsid w:val="00243C5F"/>
    <w:rsid w:val="00264813"/>
    <w:rsid w:val="00297488"/>
    <w:rsid w:val="00306A71"/>
    <w:rsid w:val="003233B1"/>
    <w:rsid w:val="00335279"/>
    <w:rsid w:val="003458A7"/>
    <w:rsid w:val="003A5579"/>
    <w:rsid w:val="00426CD8"/>
    <w:rsid w:val="00490F4A"/>
    <w:rsid w:val="004C218A"/>
    <w:rsid w:val="004E1402"/>
    <w:rsid w:val="004E7A1C"/>
    <w:rsid w:val="004F4F32"/>
    <w:rsid w:val="00505808"/>
    <w:rsid w:val="00526A6F"/>
    <w:rsid w:val="00556653"/>
    <w:rsid w:val="005C693F"/>
    <w:rsid w:val="005F71EC"/>
    <w:rsid w:val="005F7A54"/>
    <w:rsid w:val="00625EA7"/>
    <w:rsid w:val="006D45DC"/>
    <w:rsid w:val="00745B1A"/>
    <w:rsid w:val="0080635D"/>
    <w:rsid w:val="00822FAF"/>
    <w:rsid w:val="00831C00"/>
    <w:rsid w:val="0085344B"/>
    <w:rsid w:val="008848FD"/>
    <w:rsid w:val="008C6F87"/>
    <w:rsid w:val="008F3F98"/>
    <w:rsid w:val="009165A7"/>
    <w:rsid w:val="00947AD3"/>
    <w:rsid w:val="009723B0"/>
    <w:rsid w:val="009753A6"/>
    <w:rsid w:val="009A78D6"/>
    <w:rsid w:val="009C271F"/>
    <w:rsid w:val="009D07BD"/>
    <w:rsid w:val="009F39A6"/>
    <w:rsid w:val="00A24E5E"/>
    <w:rsid w:val="00A348BB"/>
    <w:rsid w:val="00A9636C"/>
    <w:rsid w:val="00AB2122"/>
    <w:rsid w:val="00AD2A76"/>
    <w:rsid w:val="00AE3656"/>
    <w:rsid w:val="00AE39D7"/>
    <w:rsid w:val="00AF7C6A"/>
    <w:rsid w:val="00B51397"/>
    <w:rsid w:val="00B53FB6"/>
    <w:rsid w:val="00BA126C"/>
    <w:rsid w:val="00BC68C2"/>
    <w:rsid w:val="00C06233"/>
    <w:rsid w:val="00C25637"/>
    <w:rsid w:val="00C25938"/>
    <w:rsid w:val="00C55567"/>
    <w:rsid w:val="00C96FC6"/>
    <w:rsid w:val="00D12389"/>
    <w:rsid w:val="00D1603D"/>
    <w:rsid w:val="00D34B6D"/>
    <w:rsid w:val="00D84268"/>
    <w:rsid w:val="00DB7745"/>
    <w:rsid w:val="00DD751C"/>
    <w:rsid w:val="00E06644"/>
    <w:rsid w:val="00E132C4"/>
    <w:rsid w:val="00E92CFF"/>
    <w:rsid w:val="00EC07E1"/>
    <w:rsid w:val="00F16140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991-D7AE-49D4-84AA-9C15F36C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document title here to automatically place on subsequent headers</vt:lpstr>
    </vt:vector>
  </TitlesOfParts>
  <Company>American Society of Health-System Pharmacists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document title here to automatically place on subsequent headers</dc:title>
  <dc:creator>Jennifer Perrell</dc:creator>
  <cp:lastModifiedBy>Carla Brink</cp:lastModifiedBy>
  <cp:revision>5</cp:revision>
  <dcterms:created xsi:type="dcterms:W3CDTF">2016-08-08T01:25:00Z</dcterms:created>
  <dcterms:modified xsi:type="dcterms:W3CDTF">2016-08-09T15:27:00Z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2014-07-21T00:00:00Z</vt:filetime>
  </property>
</Properties>
</file>